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FE35B" w14:textId="3D241530" w:rsidR="00FC3C23" w:rsidRDefault="00A53AB6" w:rsidP="00FC3C2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center"/>
        <w:rPr>
          <w:smallCaps/>
          <w:color w:val="000000"/>
          <w:sz w:val="32"/>
          <w:szCs w:val="32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85EF6" wp14:editId="423D1A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AutoShap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5B8D8" id="AutoShape 2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" filled="f" stroked="f">
                <o:lock v:ext="edit" aspectratio="t" selection="t"/>
              </v:rect>
            </w:pict>
          </mc:Fallback>
        </mc:AlternateContent>
      </w:r>
      <w:r w:rsidR="00FC3C23">
        <w:rPr>
          <w:smallCaps/>
          <w:sz w:val="32"/>
          <w:szCs w:val="32"/>
        </w:rPr>
        <w:t>NETWORK FORENSIC INVESTIGATIONS OF TUNNELED TRAFFIC: A CASE STUDY</w:t>
      </w:r>
    </w:p>
    <w:p w14:paraId="0231C153" w14:textId="77777777" w:rsidR="00FC3C23" w:rsidRDefault="00FC3C23" w:rsidP="00FC3C23">
      <w:pPr>
        <w:pBdr>
          <w:top w:val="nil"/>
          <w:left w:val="nil"/>
          <w:bottom w:val="nil"/>
          <w:right w:val="nil"/>
          <w:between w:val="nil"/>
        </w:pBdr>
        <w:spacing w:before="60" w:after="20"/>
        <w:ind w:hanging="2"/>
        <w:jc w:val="center"/>
        <w:rPr>
          <w:smallCaps/>
          <w:color w:val="000000"/>
          <w:sz w:val="18"/>
          <w:szCs w:val="18"/>
        </w:rPr>
      </w:pPr>
      <w:r>
        <w:rPr>
          <w:smallCaps/>
          <w:sz w:val="18"/>
          <w:szCs w:val="18"/>
        </w:rPr>
        <w:t>JAN PLUSKAL</w:t>
      </w:r>
      <w:r>
        <w:rPr>
          <w:smallCaps/>
          <w:color w:val="000000"/>
          <w:sz w:val="18"/>
          <w:szCs w:val="18"/>
          <w:vertAlign w:val="superscript"/>
        </w:rPr>
        <w:t>1</w:t>
      </w:r>
      <w:r>
        <w:rPr>
          <w:smallCaps/>
          <w:sz w:val="18"/>
          <w:szCs w:val="18"/>
        </w:rPr>
        <w:t>, MICHAL KOUTENSKÝ</w:t>
      </w:r>
      <w:r>
        <w:rPr>
          <w:smallCaps/>
          <w:color w:val="000000"/>
          <w:sz w:val="18"/>
          <w:szCs w:val="18"/>
          <w:vertAlign w:val="superscript"/>
        </w:rPr>
        <w:t>1</w:t>
      </w:r>
      <w:r>
        <w:rPr>
          <w:smallCaps/>
          <w:sz w:val="18"/>
          <w:szCs w:val="18"/>
        </w:rPr>
        <w:t>, MARTIN VONDRÁČEK</w:t>
      </w:r>
      <w:r>
        <w:rPr>
          <w:smallCaps/>
          <w:color w:val="000000"/>
          <w:sz w:val="18"/>
          <w:szCs w:val="18"/>
          <w:vertAlign w:val="superscript"/>
        </w:rPr>
        <w:t>1</w:t>
      </w:r>
      <w:r>
        <w:rPr>
          <w:smallCaps/>
          <w:color w:val="000000"/>
          <w:sz w:val="18"/>
          <w:szCs w:val="18"/>
        </w:rPr>
        <w:t>, ONDŘEJ RYŠAVÝ</w:t>
      </w:r>
      <w:r>
        <w:rPr>
          <w:smallCaps/>
          <w:color w:val="000000"/>
          <w:sz w:val="18"/>
          <w:szCs w:val="18"/>
          <w:vertAlign w:val="superscript"/>
        </w:rPr>
        <w:t>1</w:t>
      </w:r>
    </w:p>
    <w:p w14:paraId="49D24786" w14:textId="77777777" w:rsidR="00FC3C23" w:rsidRDefault="00FC3C23" w:rsidP="00FC3C2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120"/>
        <w:ind w:hanging="2"/>
        <w:jc w:val="both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Keywords: </w:t>
      </w:r>
      <w:r>
        <w:rPr>
          <w:b/>
          <w:sz w:val="18"/>
          <w:szCs w:val="18"/>
        </w:rPr>
        <w:t>N</w:t>
      </w:r>
      <w:r w:rsidRPr="002021D4">
        <w:rPr>
          <w:b/>
          <w:sz w:val="18"/>
          <w:szCs w:val="18"/>
        </w:rPr>
        <w:t xml:space="preserve">etwork traffic forensics, </w:t>
      </w:r>
      <w:r>
        <w:rPr>
          <w:b/>
          <w:sz w:val="18"/>
          <w:szCs w:val="18"/>
        </w:rPr>
        <w:t>G</w:t>
      </w:r>
      <w:r w:rsidRPr="002021D4">
        <w:rPr>
          <w:b/>
          <w:sz w:val="18"/>
          <w:szCs w:val="18"/>
        </w:rPr>
        <w:t xml:space="preserve">eneric </w:t>
      </w:r>
      <w:r>
        <w:rPr>
          <w:b/>
          <w:sz w:val="18"/>
          <w:szCs w:val="18"/>
        </w:rPr>
        <w:t>S</w:t>
      </w:r>
      <w:r w:rsidRPr="002021D4">
        <w:rPr>
          <w:b/>
          <w:sz w:val="18"/>
          <w:szCs w:val="18"/>
        </w:rPr>
        <w:t xml:space="preserve">tream </w:t>
      </w:r>
      <w:r>
        <w:rPr>
          <w:b/>
          <w:sz w:val="18"/>
          <w:szCs w:val="18"/>
        </w:rPr>
        <w:t>E</w:t>
      </w:r>
      <w:r w:rsidRPr="002021D4">
        <w:rPr>
          <w:b/>
          <w:sz w:val="18"/>
          <w:szCs w:val="18"/>
        </w:rPr>
        <w:t xml:space="preserve">ncapsulation, </w:t>
      </w:r>
      <w:r>
        <w:rPr>
          <w:b/>
          <w:sz w:val="18"/>
          <w:szCs w:val="18"/>
        </w:rPr>
        <w:t>N</w:t>
      </w:r>
      <w:r w:rsidRPr="002021D4">
        <w:rPr>
          <w:b/>
          <w:sz w:val="18"/>
          <w:szCs w:val="18"/>
        </w:rPr>
        <w:t>etwork forensic and analysis tool</w:t>
      </w:r>
    </w:p>
    <w:p w14:paraId="2601788C" w14:textId="77CC98DF" w:rsidR="00FC3C23" w:rsidRPr="00F43215" w:rsidRDefault="00FC3C23" w:rsidP="00FC3C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80"/>
        <w:ind w:hanging="2"/>
        <w:jc w:val="both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rStyle w:val="Strong"/>
          <w:b w:val="0"/>
          <w:bCs w:val="0"/>
          <w:color w:val="1C1E29"/>
          <w:sz w:val="20"/>
          <w:szCs w:val="20"/>
        </w:rPr>
        <w:t>The increasing importance of network forensics in the investigations conducted by Law Enforcement Agencies</w:t>
      </w:r>
      <w:r w:rsidR="00507C2E" w:rsidRPr="00F43215">
        <w:rPr>
          <w:rStyle w:val="Strong"/>
          <w:b w:val="0"/>
          <w:bCs w:val="0"/>
          <w:color w:val="1C1E29"/>
          <w:sz w:val="20"/>
          <w:szCs w:val="20"/>
        </w:rPr>
        <w:t xml:space="preserve"> (LEA)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 is indisputable. Today's internet does not carry ordinary TCP/IP traffic but utilizes many other encapsulations and tunneling protocols. In this paper, we overview the most used tunneling protocols and their features concerning digital forensic analysis. A case study of Generic Stream Encapsulation describes how the investigator can obtain encapsulated application data from within. </w:t>
      </w:r>
    </w:p>
    <w:p w14:paraId="466CEDA2" w14:textId="4D083F99" w:rsidR="00E41FBC" w:rsidRDefault="00507C2E" w:rsidP="00F432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80"/>
        <w:ind w:hanging="2"/>
        <w:jc w:val="both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The LEA uses lawful interception [16] as a tool to obtain indisputable evidence supporting cyber criminality investigations. </w:t>
      </w:r>
      <w:r w:rsidR="00B32084">
        <w:rPr>
          <w:rStyle w:val="Strong"/>
          <w:b w:val="0"/>
          <w:bCs w:val="0"/>
          <w:color w:val="1C1E29"/>
          <w:sz w:val="20"/>
          <w:szCs w:val="20"/>
        </w:rPr>
        <w:t>We intend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 to provide an overview of common encapsulation protocols that are commonly used on today’s internet. This may be beneficent for network forensic practitioners that are responsible for </w:t>
      </w:r>
      <w:r w:rsidR="00B32084">
        <w:rPr>
          <w:rStyle w:val="Strong"/>
          <w:b w:val="0"/>
          <w:bCs w:val="0"/>
          <w:color w:val="1C1E29"/>
          <w:sz w:val="20"/>
          <w:szCs w:val="20"/>
        </w:rPr>
        <w:t xml:space="preserve">the 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investigation, and executives that oversee selecting appropriate network forensic tools. As we have shown [17], network forensic analysis tools tend to lack complexity and support only </w:t>
      </w:r>
      <w:r w:rsidR="00B32084">
        <w:rPr>
          <w:rStyle w:val="Strong"/>
          <w:b w:val="0"/>
          <w:bCs w:val="0"/>
          <w:color w:val="1C1E29"/>
          <w:sz w:val="20"/>
          <w:szCs w:val="20"/>
        </w:rPr>
        <w:t xml:space="preserve">a 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>limited range of tunneling protocols</w:t>
      </w:r>
      <w:r w:rsidR="001B6B21" w:rsidRPr="00F43215">
        <w:rPr>
          <w:rStyle w:val="Strong"/>
          <w:b w:val="0"/>
          <w:bCs w:val="0"/>
          <w:color w:val="1C1E29"/>
          <w:sz w:val="20"/>
          <w:szCs w:val="20"/>
        </w:rPr>
        <w:t xml:space="preserve">. We show in this paper that some tunneling protocols [7, 8, 11, 12] that are not encrypted can be easily processed and contained information </w:t>
      </w:r>
      <w:r w:rsidR="00B32084">
        <w:rPr>
          <w:rStyle w:val="Strong"/>
          <w:b w:val="0"/>
          <w:bCs w:val="0"/>
          <w:color w:val="1C1E29"/>
          <w:sz w:val="20"/>
          <w:szCs w:val="20"/>
        </w:rPr>
        <w:t xml:space="preserve">that </w:t>
      </w:r>
      <w:r w:rsidR="001B6B21" w:rsidRPr="00F43215">
        <w:rPr>
          <w:rStyle w:val="Strong"/>
          <w:b w:val="0"/>
          <w:bCs w:val="0"/>
          <w:color w:val="1C1E29"/>
          <w:sz w:val="20"/>
          <w:szCs w:val="20"/>
        </w:rPr>
        <w:t xml:space="preserve">may provide great value for investigators. 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 </w:t>
      </w:r>
      <w:r w:rsidR="001B6B21" w:rsidRPr="00F43215">
        <w:rPr>
          <w:rStyle w:val="Strong"/>
          <w:b w:val="0"/>
          <w:bCs w:val="0"/>
          <w:color w:val="1C1E29"/>
          <w:sz w:val="20"/>
          <w:szCs w:val="20"/>
        </w:rPr>
        <w:t>Also, extracting meta</w:t>
      </w:r>
      <w:r w:rsidR="00B32084">
        <w:rPr>
          <w:rStyle w:val="Strong"/>
          <w:b w:val="0"/>
          <w:bCs w:val="0"/>
          <w:color w:val="1C1E29"/>
          <w:sz w:val="20"/>
          <w:szCs w:val="20"/>
        </w:rPr>
        <w:t xml:space="preserve"> </w:t>
      </w:r>
      <w:r w:rsidR="001B6B21" w:rsidRPr="00F43215">
        <w:rPr>
          <w:rStyle w:val="Strong"/>
          <w:b w:val="0"/>
          <w:bCs w:val="0"/>
          <w:color w:val="1C1E29"/>
          <w:sz w:val="20"/>
          <w:szCs w:val="20"/>
        </w:rPr>
        <w:t>information from encrypted tunneling protocols</w:t>
      </w:r>
      <w:r w:rsidR="00B32084">
        <w:t> </w:t>
      </w:r>
      <w:r w:rsidR="001B6B21" w:rsidRPr="00F43215">
        <w:rPr>
          <w:rStyle w:val="Strong"/>
          <w:b w:val="0"/>
          <w:bCs w:val="0"/>
          <w:color w:val="1C1E29"/>
          <w:sz w:val="20"/>
          <w:szCs w:val="20"/>
        </w:rPr>
        <w:t>[9, 10, 14</w:t>
      </w:r>
      <w:r w:rsidR="005468B9">
        <w:rPr>
          <w:rStyle w:val="Strong"/>
          <w:b w:val="0"/>
          <w:bCs w:val="0"/>
          <w:color w:val="1C1E29"/>
          <w:sz w:val="20"/>
          <w:szCs w:val="20"/>
        </w:rPr>
        <w:t>, 15</w:t>
      </w:r>
      <w:r w:rsidR="001B6B21" w:rsidRPr="00F43215">
        <w:rPr>
          <w:rStyle w:val="Strong"/>
          <w:b w:val="0"/>
          <w:bCs w:val="0"/>
          <w:color w:val="1C1E29"/>
          <w:sz w:val="20"/>
          <w:szCs w:val="20"/>
        </w:rPr>
        <w:t>] may yield at least metainformation that can be correlated to other activities. Therefore, omitting encapsulation and tunneling protocols may lead to false evidence.</w:t>
      </w:r>
      <w:bookmarkStart w:id="0" w:name="_GoBack"/>
      <w:bookmarkEnd w:id="0"/>
    </w:p>
    <w:p w14:paraId="02995387" w14:textId="41E09492" w:rsidR="00B32084" w:rsidRPr="00F43215" w:rsidRDefault="00B32084" w:rsidP="00F4321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80"/>
        <w:ind w:hanging="2"/>
        <w:jc w:val="both"/>
        <w:rPr>
          <w:rStyle w:val="Strong"/>
          <w:color w:val="1C1E29"/>
          <w:sz w:val="20"/>
          <w:szCs w:val="20"/>
        </w:rPr>
      </w:pPr>
      <w:r>
        <w:rPr>
          <w:rStyle w:val="Strong"/>
          <w:b w:val="0"/>
          <w:bCs w:val="0"/>
          <w:color w:val="1C1E29"/>
          <w:sz w:val="20"/>
          <w:szCs w:val="20"/>
        </w:rPr>
        <w:t>We provide a case study focused on the Generic Stream Encapsulation (GSE) [1, 2, 3, 4, 5, 6] protocol. The GSE may be used to carry IP network traffic</w:t>
      </w:r>
      <w:r w:rsidR="005468B9">
        <w:rPr>
          <w:rStyle w:val="Strong"/>
          <w:b w:val="0"/>
          <w:bCs w:val="0"/>
          <w:color w:val="1C1E29"/>
          <w:sz w:val="20"/>
          <w:szCs w:val="20"/>
        </w:rPr>
        <w:t xml:space="preserve"> [13]</w:t>
      </w:r>
      <w:r>
        <w:rPr>
          <w:rStyle w:val="Strong"/>
          <w:b w:val="0"/>
          <w:bCs w:val="0"/>
          <w:color w:val="1C1E29"/>
          <w:sz w:val="20"/>
          <w:szCs w:val="20"/>
        </w:rPr>
        <w:t xml:space="preserve"> in satellite communication. We show that without support for GSE in network forensic analysis tools used by investigators, evidence might not be obtained. </w:t>
      </w:r>
    </w:p>
    <w:p w14:paraId="49A1C2C8" w14:textId="510FBDDD" w:rsidR="00E41FBC" w:rsidRDefault="00E41FBC" w:rsidP="00FC3C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80"/>
        <w:ind w:hanging="2"/>
        <w:jc w:val="both"/>
        <w:rPr>
          <w:rStyle w:val="Strong"/>
          <w:color w:val="1C1E29"/>
        </w:rPr>
      </w:pPr>
      <w:r>
        <w:rPr>
          <w:rStyle w:val="Strong"/>
          <w:color w:val="1C1E29"/>
        </w:rPr>
        <w:t>References</w:t>
      </w:r>
    </w:p>
    <w:p w14:paraId="15CEAF47" w14:textId="705BB58B" w:rsidR="00E41FBC" w:rsidRPr="00BB472A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 w:rsidRPr="00BB472A">
        <w:rPr>
          <w:sz w:val="18"/>
          <w:szCs w:val="18"/>
        </w:rPr>
        <w:t xml:space="preserve">ETSI. 2011. ETSI TS 102 771 V1.2.1 - </w:t>
      </w:r>
      <w:r w:rsidRPr="00840FB4">
        <w:rPr>
          <w:i/>
          <w:iCs/>
          <w:sz w:val="18"/>
          <w:szCs w:val="18"/>
        </w:rPr>
        <w:t>Digital Video Broadcasting (DVB); Generic Stream Encapsulation (GSE) implementation guidelines.</w:t>
      </w:r>
      <w:r w:rsidRPr="00BB472A">
        <w:rPr>
          <w:sz w:val="18"/>
          <w:szCs w:val="18"/>
        </w:rPr>
        <w:t xml:space="preserve"> European Telecommunications Standards Institute. </w:t>
      </w:r>
    </w:p>
    <w:p w14:paraId="3526ED6B" w14:textId="449D8554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ETSI. 2014. ETSI EN 302 307-1 V1.4.1 - </w:t>
      </w:r>
      <w:r w:rsidRPr="00840FB4">
        <w:rPr>
          <w:i/>
          <w:iCs/>
          <w:sz w:val="18"/>
          <w:szCs w:val="18"/>
        </w:rPr>
        <w:t>Digital Video Broadcasting (DVB); Second generation framing structure, channel coding and modulation systems for Broadcasting, Interactive Services, News Gathering and other broadband satellite applications</w:t>
      </w:r>
      <w:r>
        <w:rPr>
          <w:i/>
          <w:iCs/>
          <w:sz w:val="18"/>
          <w:szCs w:val="18"/>
        </w:rPr>
        <w:t>.</w:t>
      </w:r>
      <w:r w:rsidRPr="00BB472A">
        <w:rPr>
          <w:sz w:val="18"/>
          <w:szCs w:val="18"/>
        </w:rPr>
        <w:t xml:space="preserve"> Part 1: DVB-S2. European Telecommunications Standards Institute. </w:t>
      </w:r>
    </w:p>
    <w:p w14:paraId="316EE54F" w14:textId="7A3833F0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ETSI. 2014. ETSI TS 102 606-1 V1.2.1 - </w:t>
      </w:r>
      <w:r w:rsidRPr="00840FB4">
        <w:rPr>
          <w:i/>
          <w:iCs/>
          <w:sz w:val="18"/>
          <w:szCs w:val="18"/>
        </w:rPr>
        <w:t>Digital Video Broadcasting (DVB); Generic Stream Encapsulation (GSE); Part 1: Protocol.</w:t>
      </w:r>
      <w:r w:rsidRPr="00BB472A">
        <w:rPr>
          <w:sz w:val="18"/>
          <w:szCs w:val="18"/>
        </w:rPr>
        <w:t xml:space="preserve"> European Telecommunications Standards Institute.</w:t>
      </w:r>
    </w:p>
    <w:p w14:paraId="065FCD76" w14:textId="4D6F5676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4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ETSI. 2014. ETSI TS 102 606-2 V1.1.1 - </w:t>
      </w:r>
      <w:r w:rsidRPr="00840FB4">
        <w:rPr>
          <w:i/>
          <w:iCs/>
          <w:sz w:val="18"/>
          <w:szCs w:val="18"/>
        </w:rPr>
        <w:t>Digital Video Broadcasting (DVB); Generic Stream Encapsulation (GSE); Part 2: Logical Link Control (LLC).</w:t>
      </w:r>
      <w:r w:rsidRPr="00BB472A">
        <w:rPr>
          <w:sz w:val="18"/>
          <w:szCs w:val="18"/>
        </w:rPr>
        <w:t xml:space="preserve"> European Telecommunications Standards Institute. </w:t>
      </w:r>
    </w:p>
    <w:p w14:paraId="2459DF77" w14:textId="74FA4252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5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ETSI. 2014. ETSI TS 102 606-3 V1.1.1 - </w:t>
      </w:r>
      <w:r w:rsidRPr="00840FB4">
        <w:rPr>
          <w:i/>
          <w:iCs/>
          <w:sz w:val="18"/>
          <w:szCs w:val="18"/>
        </w:rPr>
        <w:t>Digital Video Broadcasting (DVB); Generic Stream Encapsulation (GSE); Part 3: Robust Header Compression (ROHC) for IP.</w:t>
      </w:r>
      <w:r w:rsidRPr="00BB472A">
        <w:rPr>
          <w:sz w:val="18"/>
          <w:szCs w:val="18"/>
        </w:rPr>
        <w:t xml:space="preserve"> European Telecommunications Standards Institute. </w:t>
      </w:r>
    </w:p>
    <w:p w14:paraId="26DEA988" w14:textId="5E83F9B6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6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ETSI. 2015. ETSI TR 102 376-1 V1.2.1 - </w:t>
      </w:r>
      <w:r w:rsidRPr="00840FB4">
        <w:rPr>
          <w:i/>
          <w:iCs/>
          <w:sz w:val="18"/>
          <w:szCs w:val="18"/>
        </w:rPr>
        <w:t xml:space="preserve">Digital Video Broadcasting (DVB); Implementation guidelines for the </w:t>
      </w:r>
      <w:proofErr w:type="gramStart"/>
      <w:r w:rsidRPr="00840FB4">
        <w:rPr>
          <w:i/>
          <w:iCs/>
          <w:sz w:val="18"/>
          <w:szCs w:val="18"/>
        </w:rPr>
        <w:t>second generation</w:t>
      </w:r>
      <w:proofErr w:type="gramEnd"/>
      <w:r w:rsidRPr="00840FB4">
        <w:rPr>
          <w:i/>
          <w:iCs/>
          <w:sz w:val="18"/>
          <w:szCs w:val="18"/>
        </w:rPr>
        <w:t xml:space="preserve"> system for Broadcasting, Interactive Services, News Gathering and other broadband satellite applications; Part 1: DVB-S2; Part 1: DVB-S2.</w:t>
      </w:r>
      <w:r w:rsidRPr="00BB472A">
        <w:rPr>
          <w:sz w:val="18"/>
          <w:szCs w:val="18"/>
        </w:rPr>
        <w:t xml:space="preserve"> European Telecommunications Standards Institute. </w:t>
      </w:r>
    </w:p>
    <w:p w14:paraId="214BDB91" w14:textId="27B42C9A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BB472A">
        <w:rPr>
          <w:sz w:val="18"/>
          <w:szCs w:val="18"/>
        </w:rPr>
        <w:t xml:space="preserve">Dino </w:t>
      </w:r>
      <w:proofErr w:type="spellStart"/>
      <w:r w:rsidRPr="00BB472A">
        <w:rPr>
          <w:sz w:val="18"/>
          <w:szCs w:val="18"/>
        </w:rPr>
        <w:t>Farinacci</w:t>
      </w:r>
      <w:proofErr w:type="spellEnd"/>
      <w:r w:rsidRPr="00BB472A">
        <w:rPr>
          <w:sz w:val="18"/>
          <w:szCs w:val="18"/>
        </w:rPr>
        <w:t xml:space="preserve">, Stanley P. Hanks, Tony Li, and Paul S. </w:t>
      </w:r>
      <w:proofErr w:type="spellStart"/>
      <w:r w:rsidRPr="00BB472A">
        <w:rPr>
          <w:sz w:val="18"/>
          <w:szCs w:val="18"/>
        </w:rPr>
        <w:t>Traina</w:t>
      </w:r>
      <w:proofErr w:type="spellEnd"/>
      <w:r w:rsidRPr="00BB472A">
        <w:rPr>
          <w:sz w:val="18"/>
          <w:szCs w:val="18"/>
        </w:rPr>
        <w:t xml:space="preserve">. 1994. </w:t>
      </w:r>
      <w:r w:rsidRPr="00840FB4">
        <w:rPr>
          <w:i/>
          <w:iCs/>
          <w:sz w:val="18"/>
          <w:szCs w:val="18"/>
        </w:rPr>
        <w:t>Generic Routing Encapsulation (GRE).</w:t>
      </w:r>
      <w:r w:rsidRPr="00BB472A">
        <w:rPr>
          <w:sz w:val="18"/>
          <w:szCs w:val="18"/>
        </w:rPr>
        <w:t xml:space="preserve"> RFC 1701.</w:t>
      </w:r>
    </w:p>
    <w:p w14:paraId="76331BF2" w14:textId="1E0D6F59" w:rsidR="00E41FBC" w:rsidRPr="00BB472A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Robert E. Gilligan and Erik </w:t>
      </w:r>
      <w:proofErr w:type="spellStart"/>
      <w:r w:rsidRPr="00BB472A">
        <w:rPr>
          <w:sz w:val="18"/>
          <w:szCs w:val="18"/>
        </w:rPr>
        <w:t>Nordmark</w:t>
      </w:r>
      <w:proofErr w:type="spellEnd"/>
      <w:r w:rsidRPr="00BB472A">
        <w:rPr>
          <w:sz w:val="18"/>
          <w:szCs w:val="18"/>
        </w:rPr>
        <w:t xml:space="preserve">. 2005. </w:t>
      </w:r>
      <w:r w:rsidRPr="00840FB4">
        <w:rPr>
          <w:i/>
          <w:iCs/>
          <w:sz w:val="18"/>
          <w:szCs w:val="18"/>
        </w:rPr>
        <w:t>Basic Transition Mechanisms for IPv6 Hosts and Routers.</w:t>
      </w:r>
      <w:r w:rsidRPr="00BB472A">
        <w:rPr>
          <w:sz w:val="18"/>
          <w:szCs w:val="18"/>
        </w:rPr>
        <w:t xml:space="preserve"> RFC 4213. </w:t>
      </w:r>
    </w:p>
    <w:p w14:paraId="7374B0DB" w14:textId="4E72B2B8" w:rsidR="00E41FBC" w:rsidRPr="00BB472A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9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Stephen Kent. 2005. </w:t>
      </w:r>
      <w:r w:rsidRPr="00840FB4">
        <w:rPr>
          <w:i/>
          <w:iCs/>
          <w:sz w:val="18"/>
          <w:szCs w:val="18"/>
        </w:rPr>
        <w:t>IP Authentication Header.</w:t>
      </w:r>
      <w:r w:rsidRPr="00BB472A">
        <w:rPr>
          <w:sz w:val="18"/>
          <w:szCs w:val="18"/>
        </w:rPr>
        <w:t xml:space="preserve"> RFC 4302. </w:t>
      </w:r>
    </w:p>
    <w:p w14:paraId="5EB1C7E7" w14:textId="2CD36444" w:rsidR="00E41FBC" w:rsidRPr="00BB472A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10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Stephen Kent. 2005. </w:t>
      </w:r>
      <w:r w:rsidRPr="00840FB4">
        <w:rPr>
          <w:i/>
          <w:iCs/>
          <w:sz w:val="18"/>
          <w:szCs w:val="18"/>
        </w:rPr>
        <w:t>IP Encapsulating Security Payload (ESP).</w:t>
      </w:r>
      <w:r w:rsidRPr="00BB472A">
        <w:rPr>
          <w:sz w:val="18"/>
          <w:szCs w:val="18"/>
        </w:rPr>
        <w:t xml:space="preserve"> RFC 4303. </w:t>
      </w:r>
    </w:p>
    <w:p w14:paraId="791A405B" w14:textId="3BE16DD8" w:rsidR="00E41FBC" w:rsidRPr="00BB472A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11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Jeroen </w:t>
      </w:r>
      <w:proofErr w:type="spellStart"/>
      <w:r w:rsidRPr="00BB472A">
        <w:rPr>
          <w:sz w:val="18"/>
          <w:szCs w:val="18"/>
        </w:rPr>
        <w:t>Massar</w:t>
      </w:r>
      <w:proofErr w:type="spellEnd"/>
      <w:r w:rsidRPr="00BB472A">
        <w:rPr>
          <w:sz w:val="18"/>
          <w:szCs w:val="18"/>
        </w:rPr>
        <w:t xml:space="preserve">. 2004. </w:t>
      </w:r>
      <w:r w:rsidRPr="009D64DE">
        <w:rPr>
          <w:i/>
          <w:iCs/>
          <w:sz w:val="18"/>
          <w:szCs w:val="18"/>
        </w:rPr>
        <w:t xml:space="preserve">AYIYA: Anything </w:t>
      </w:r>
      <w:proofErr w:type="gramStart"/>
      <w:r w:rsidRPr="009D64DE">
        <w:rPr>
          <w:i/>
          <w:iCs/>
          <w:sz w:val="18"/>
          <w:szCs w:val="18"/>
        </w:rPr>
        <w:t>In</w:t>
      </w:r>
      <w:proofErr w:type="gramEnd"/>
      <w:r w:rsidRPr="009D64DE">
        <w:rPr>
          <w:i/>
          <w:iCs/>
          <w:sz w:val="18"/>
          <w:szCs w:val="18"/>
        </w:rPr>
        <w:t xml:space="preserve"> Anything. Internet-Draft draft-massar-v6ops-ayiya-02. </w:t>
      </w:r>
      <w:r w:rsidRPr="00BB472A">
        <w:rPr>
          <w:sz w:val="18"/>
          <w:szCs w:val="18"/>
        </w:rPr>
        <w:t xml:space="preserve">Internet Engineering Task Force. https://datatracker.ietf.org/doc/html/draft-massar-v6ops-ayiya-02 Work in Progress. </w:t>
      </w:r>
    </w:p>
    <w:p w14:paraId="7837BA2A" w14:textId="1380BAD9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12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Charles E. Perkins. 1996. </w:t>
      </w:r>
      <w:r w:rsidRPr="009D64DE">
        <w:rPr>
          <w:i/>
          <w:iCs/>
          <w:sz w:val="18"/>
          <w:szCs w:val="18"/>
        </w:rPr>
        <w:t>IP Encapsulation within IP.</w:t>
      </w:r>
      <w:r w:rsidRPr="00BB472A">
        <w:rPr>
          <w:sz w:val="18"/>
          <w:szCs w:val="18"/>
        </w:rPr>
        <w:t xml:space="preserve"> RFC 2003. </w:t>
      </w:r>
    </w:p>
    <w:p w14:paraId="0F6FB8F7" w14:textId="2AE9F4F4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13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Karen </w:t>
      </w:r>
      <w:proofErr w:type="spellStart"/>
      <w:r w:rsidRPr="00BB472A">
        <w:rPr>
          <w:sz w:val="18"/>
          <w:szCs w:val="18"/>
        </w:rPr>
        <w:t>Seo</w:t>
      </w:r>
      <w:proofErr w:type="spellEnd"/>
      <w:r w:rsidRPr="00BB472A">
        <w:rPr>
          <w:sz w:val="18"/>
          <w:szCs w:val="18"/>
        </w:rPr>
        <w:t xml:space="preserve"> and Stephen Kent. 2005. </w:t>
      </w:r>
      <w:r w:rsidRPr="009D64DE">
        <w:rPr>
          <w:i/>
          <w:iCs/>
          <w:sz w:val="18"/>
          <w:szCs w:val="18"/>
        </w:rPr>
        <w:t>Security Architecture for the Internet Protocol.</w:t>
      </w:r>
      <w:r w:rsidRPr="00BB472A">
        <w:rPr>
          <w:sz w:val="18"/>
          <w:szCs w:val="18"/>
        </w:rPr>
        <w:t xml:space="preserve"> RFC 4301. </w:t>
      </w:r>
    </w:p>
    <w:p w14:paraId="04A13C90" w14:textId="7C6E5273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14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Andrew J. Valencia, Glen Zorn, William Palter, Gurdeep-Singh Pall, Mark </w:t>
      </w:r>
      <w:proofErr w:type="spellStart"/>
      <w:r w:rsidRPr="00BB472A">
        <w:rPr>
          <w:sz w:val="18"/>
          <w:szCs w:val="18"/>
        </w:rPr>
        <w:t>Townsley</w:t>
      </w:r>
      <w:proofErr w:type="spellEnd"/>
      <w:r w:rsidRPr="00BB472A">
        <w:rPr>
          <w:sz w:val="18"/>
          <w:szCs w:val="18"/>
        </w:rPr>
        <w:t xml:space="preserve">, and Allan Rubens. 1999. </w:t>
      </w:r>
      <w:r w:rsidRPr="009D64DE">
        <w:rPr>
          <w:i/>
          <w:iCs/>
          <w:sz w:val="18"/>
          <w:szCs w:val="18"/>
        </w:rPr>
        <w:t>Layer Two Tunneling Protocol "L2TP".</w:t>
      </w:r>
      <w:r w:rsidRPr="00BB472A">
        <w:rPr>
          <w:sz w:val="18"/>
          <w:szCs w:val="18"/>
        </w:rPr>
        <w:t xml:space="preserve"> RFC 2661. </w:t>
      </w:r>
    </w:p>
    <w:p w14:paraId="366522CE" w14:textId="70C8C807" w:rsidR="00E41FBC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15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Glen Zorn, Gurdeep-Singh Pall, and Kory </w:t>
      </w:r>
      <w:proofErr w:type="spellStart"/>
      <w:r w:rsidRPr="00BB472A">
        <w:rPr>
          <w:sz w:val="18"/>
          <w:szCs w:val="18"/>
        </w:rPr>
        <w:t>Hamzeh</w:t>
      </w:r>
      <w:proofErr w:type="spellEnd"/>
      <w:r w:rsidRPr="00BB472A">
        <w:rPr>
          <w:sz w:val="18"/>
          <w:szCs w:val="18"/>
        </w:rPr>
        <w:t xml:space="preserve">. 1999. </w:t>
      </w:r>
      <w:r w:rsidRPr="009D64DE">
        <w:rPr>
          <w:i/>
          <w:iCs/>
          <w:sz w:val="18"/>
          <w:szCs w:val="18"/>
        </w:rPr>
        <w:t>Point-</w:t>
      </w:r>
      <w:proofErr w:type="spellStart"/>
      <w:r w:rsidRPr="009D64DE">
        <w:rPr>
          <w:i/>
          <w:iCs/>
          <w:sz w:val="18"/>
          <w:szCs w:val="18"/>
        </w:rPr>
        <w:t>toPoint</w:t>
      </w:r>
      <w:proofErr w:type="spellEnd"/>
      <w:r w:rsidRPr="009D64DE">
        <w:rPr>
          <w:i/>
          <w:iCs/>
          <w:sz w:val="18"/>
          <w:szCs w:val="18"/>
        </w:rPr>
        <w:t xml:space="preserve"> Tunneling Protocol (PPTP).</w:t>
      </w:r>
      <w:r w:rsidRPr="00BB472A">
        <w:rPr>
          <w:sz w:val="18"/>
          <w:szCs w:val="18"/>
        </w:rPr>
        <w:t xml:space="preserve"> RFC 2637. </w:t>
      </w:r>
    </w:p>
    <w:p w14:paraId="61AEB378" w14:textId="4A936A06" w:rsidR="00507C2E" w:rsidRPr="00507C2E" w:rsidRDefault="00507C2E" w:rsidP="00507C2E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16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Matthew </w:t>
      </w:r>
      <w:proofErr w:type="spellStart"/>
      <w:r w:rsidRPr="00BB472A">
        <w:rPr>
          <w:sz w:val="18"/>
          <w:szCs w:val="18"/>
        </w:rPr>
        <w:t>Ponsford</w:t>
      </w:r>
      <w:proofErr w:type="spellEnd"/>
      <w:r w:rsidRPr="00BB472A">
        <w:rPr>
          <w:sz w:val="18"/>
          <w:szCs w:val="18"/>
        </w:rPr>
        <w:t xml:space="preserve">. 2017. </w:t>
      </w:r>
      <w:r w:rsidRPr="009D64DE">
        <w:rPr>
          <w:i/>
          <w:iCs/>
          <w:sz w:val="18"/>
          <w:szCs w:val="18"/>
        </w:rPr>
        <w:t>The Lawful Access Fallacy: Voluntary Warrantless Disclosures, Customer Privacy, and Government Requests for Subscriber Information.</w:t>
      </w:r>
      <w:r w:rsidRPr="00BB472A">
        <w:rPr>
          <w:sz w:val="18"/>
          <w:szCs w:val="18"/>
        </w:rPr>
        <w:t xml:space="preserve"> Canadian Journal of Law &amp; Technology 15(2017), 1.</w:t>
      </w:r>
    </w:p>
    <w:p w14:paraId="6FB75962" w14:textId="7195569C" w:rsidR="00E41FBC" w:rsidRPr="00BB472A" w:rsidRDefault="00E41FBC" w:rsidP="00E41FBC">
      <w:pPr>
        <w:pBdr>
          <w:top w:val="nil"/>
          <w:left w:val="nil"/>
          <w:bottom w:val="nil"/>
          <w:right w:val="nil"/>
          <w:between w:val="nil"/>
        </w:pBdr>
        <w:ind w:left="360" w:hangingChars="200" w:hanging="360"/>
        <w:jc w:val="both"/>
        <w:rPr>
          <w:sz w:val="18"/>
          <w:szCs w:val="18"/>
        </w:rPr>
      </w:pPr>
      <w:r>
        <w:rPr>
          <w:sz w:val="18"/>
          <w:szCs w:val="18"/>
        </w:rPr>
        <w:t>1</w:t>
      </w:r>
      <w:r w:rsidR="00507C2E">
        <w:rPr>
          <w:sz w:val="18"/>
          <w:szCs w:val="18"/>
        </w:rPr>
        <w:t>7</w:t>
      </w:r>
      <w:r>
        <w:rPr>
          <w:sz w:val="18"/>
          <w:szCs w:val="18"/>
        </w:rPr>
        <w:t>.</w:t>
      </w:r>
      <w:r w:rsidRPr="00BB472A">
        <w:rPr>
          <w:sz w:val="18"/>
          <w:szCs w:val="18"/>
        </w:rPr>
        <w:t xml:space="preserve"> Jan Pluskal, Martin </w:t>
      </w:r>
      <w:proofErr w:type="spellStart"/>
      <w:r w:rsidRPr="00BB472A">
        <w:rPr>
          <w:sz w:val="18"/>
          <w:szCs w:val="18"/>
        </w:rPr>
        <w:t>Vondráček</w:t>
      </w:r>
      <w:proofErr w:type="spellEnd"/>
      <w:r w:rsidRPr="00BB472A">
        <w:rPr>
          <w:sz w:val="18"/>
          <w:szCs w:val="18"/>
        </w:rPr>
        <w:t xml:space="preserve">, and </w:t>
      </w:r>
      <w:proofErr w:type="spellStart"/>
      <w:r w:rsidRPr="00BB472A">
        <w:rPr>
          <w:sz w:val="18"/>
          <w:szCs w:val="18"/>
        </w:rPr>
        <w:t>Ondřej</w:t>
      </w:r>
      <w:proofErr w:type="spellEnd"/>
      <w:r w:rsidRPr="00BB472A">
        <w:rPr>
          <w:sz w:val="18"/>
          <w:szCs w:val="18"/>
        </w:rPr>
        <w:t xml:space="preserve"> </w:t>
      </w:r>
      <w:proofErr w:type="spellStart"/>
      <w:r w:rsidRPr="00BB472A">
        <w:rPr>
          <w:sz w:val="18"/>
          <w:szCs w:val="18"/>
        </w:rPr>
        <w:t>Ryšavy</w:t>
      </w:r>
      <w:proofErr w:type="spellEnd"/>
      <w:r w:rsidRPr="00BB472A">
        <w:rPr>
          <w:sz w:val="18"/>
          <w:szCs w:val="18"/>
        </w:rPr>
        <w:t xml:space="preserve">. 2019. </w:t>
      </w:r>
      <w:r w:rsidRPr="009D64DE">
        <w:rPr>
          <w:i/>
          <w:iCs/>
          <w:sz w:val="18"/>
          <w:szCs w:val="18"/>
        </w:rPr>
        <w:t>Network ` Forensics in GSE Overlay Networks.</w:t>
      </w:r>
      <w:r w:rsidRPr="00BB472A">
        <w:rPr>
          <w:sz w:val="18"/>
          <w:szCs w:val="18"/>
        </w:rPr>
        <w:t xml:space="preserve"> In Proceedings of the 6th Conference on the Engineering of Computer Based Systems. ACM, 12. </w:t>
      </w:r>
    </w:p>
    <w:p w14:paraId="1FAD5462" w14:textId="2BA344CF" w:rsidR="00FC3C23" w:rsidRPr="00F43215" w:rsidRDefault="00E41FBC" w:rsidP="00F43215">
      <w:pPr>
        <w:pBdr>
          <w:top w:val="nil"/>
          <w:left w:val="nil"/>
          <w:bottom w:val="nil"/>
          <w:right w:val="nil"/>
          <w:between w:val="nil"/>
        </w:pBdr>
        <w:ind w:left="400" w:hangingChars="200" w:hanging="400"/>
        <w:jc w:val="both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sz w:val="20"/>
          <w:szCs w:val="20"/>
        </w:rPr>
        <w:t xml:space="preserve"> </w:t>
      </w:r>
    </w:p>
    <w:p w14:paraId="6E477C1D" w14:textId="79612AA1" w:rsidR="00FC3C23" w:rsidRPr="00F43215" w:rsidRDefault="00FC3C23" w:rsidP="00FC3C23">
      <w:pPr>
        <w:pStyle w:val="NoSpacing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Number 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>of pages: 6</w:t>
      </w:r>
    </w:p>
    <w:p w14:paraId="6D1E73F3" w14:textId="33F1CA39" w:rsidR="00FC3C23" w:rsidRPr="00F43215" w:rsidRDefault="00FC3C23" w:rsidP="00FC3C23">
      <w:pPr>
        <w:pStyle w:val="NoSpacing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Number of cited </w:t>
      </w:r>
      <w:proofErr w:type="gramStart"/>
      <w:r w:rsidRPr="00F43215">
        <w:rPr>
          <w:rStyle w:val="Strong"/>
          <w:b w:val="0"/>
          <w:bCs w:val="0"/>
          <w:color w:val="1C1E29"/>
          <w:sz w:val="20"/>
          <w:szCs w:val="20"/>
        </w:rPr>
        <w:t>literature</w:t>
      </w:r>
      <w:proofErr w:type="gramEnd"/>
      <w:r w:rsidRPr="00F43215">
        <w:rPr>
          <w:rStyle w:val="Strong"/>
          <w:b w:val="0"/>
          <w:bCs w:val="0"/>
          <w:color w:val="1C1E29"/>
          <w:sz w:val="20"/>
          <w:szCs w:val="20"/>
        </w:rPr>
        <w:t>: 43</w:t>
      </w:r>
    </w:p>
    <w:p w14:paraId="62ABC7C0" w14:textId="0A5C207F" w:rsidR="00FC3C23" w:rsidRPr="00F43215" w:rsidRDefault="00FC3C23" w:rsidP="00FC3C23">
      <w:pPr>
        <w:pStyle w:val="NoSpacing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rStyle w:val="Strong"/>
          <w:b w:val="0"/>
          <w:bCs w:val="0"/>
          <w:color w:val="1C1E29"/>
          <w:sz w:val="20"/>
          <w:szCs w:val="20"/>
        </w:rPr>
        <w:t xml:space="preserve">Number </w:t>
      </w:r>
      <w:r w:rsidRPr="00F43215">
        <w:rPr>
          <w:rStyle w:val="Strong"/>
          <w:b w:val="0"/>
          <w:bCs w:val="0"/>
          <w:color w:val="1C1E29"/>
          <w:sz w:val="20"/>
          <w:szCs w:val="20"/>
        </w:rPr>
        <w:t>of figures: 3</w:t>
      </w:r>
    </w:p>
    <w:p w14:paraId="0AD626C2" w14:textId="206C64BB" w:rsidR="00FC3C23" w:rsidRPr="00F43215" w:rsidRDefault="00FC3C23" w:rsidP="00FC3C23">
      <w:pPr>
        <w:pStyle w:val="NoSpacing"/>
        <w:rPr>
          <w:rStyle w:val="Strong"/>
          <w:b w:val="0"/>
          <w:bCs w:val="0"/>
          <w:color w:val="1C1E29"/>
          <w:sz w:val="20"/>
          <w:szCs w:val="20"/>
        </w:rPr>
      </w:pPr>
      <w:r w:rsidRPr="00F43215">
        <w:rPr>
          <w:rStyle w:val="Strong"/>
          <w:b w:val="0"/>
          <w:bCs w:val="0"/>
          <w:color w:val="1C1E29"/>
          <w:sz w:val="20"/>
          <w:szCs w:val="20"/>
        </w:rPr>
        <w:t>Number of tables: 1</w:t>
      </w:r>
    </w:p>
    <w:p w14:paraId="0E9F207B" w14:textId="77777777" w:rsidR="00FC3C23" w:rsidRDefault="00FC3C23" w:rsidP="00FC3C2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80"/>
        <w:ind w:hanging="2"/>
        <w:jc w:val="both"/>
        <w:rPr>
          <w:smallCaps/>
          <w:color w:val="000000"/>
        </w:rPr>
      </w:pPr>
    </w:p>
    <w:p w14:paraId="230EBD43" w14:textId="31225EE4" w:rsidR="00FC3C23" w:rsidRDefault="00FC3C23" w:rsidP="00E41FB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80"/>
        <w:jc w:val="both"/>
        <w:rPr>
          <w:smallCaps/>
          <w:color w:val="000000"/>
        </w:rPr>
        <w:sectPr w:rsidR="00FC3C2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009" w:right="1009" w:bottom="1009" w:left="1009" w:header="851" w:footer="737" w:gutter="0"/>
          <w:pgNumType w:start="1"/>
          <w:cols w:space="720" w:equalWidth="0">
            <w:col w:w="9360"/>
          </w:cols>
          <w:titlePg/>
        </w:sectPr>
      </w:pPr>
    </w:p>
    <w:p w14:paraId="1E943BA2" w14:textId="77777777" w:rsidR="00E41FBC" w:rsidRPr="00E41FBC" w:rsidRDefault="00E41FBC" w:rsidP="00E41FBC">
      <w:pPr>
        <w:jc w:val="center"/>
        <w:rPr>
          <w:color w:val="FF0000"/>
          <w:lang w:val="ro-RO"/>
        </w:rPr>
      </w:pPr>
      <w:r w:rsidRPr="00E41FBC">
        <w:rPr>
          <w:color w:val="FF0000"/>
          <w:lang w:val="ro-RO"/>
        </w:rPr>
        <w:lastRenderedPageBreak/>
        <w:t>Article presentation</w:t>
      </w:r>
    </w:p>
    <w:p w14:paraId="37C08234" w14:textId="77777777" w:rsidR="00E41FBC" w:rsidRPr="00E41FBC" w:rsidRDefault="00E41FBC" w:rsidP="00E41FBC">
      <w:pPr>
        <w:ind w:firstLine="720"/>
        <w:jc w:val="both"/>
        <w:rPr>
          <w:color w:val="FF0000"/>
          <w:lang w:val="ro-RO"/>
        </w:rPr>
      </w:pPr>
      <w:r w:rsidRPr="00E41FBC">
        <w:rPr>
          <w:color w:val="FF0000"/>
          <w:lang w:val="ro-RO"/>
        </w:rPr>
        <w:t>Each article will be accompanied by a presentation on 1 page with the following content: article title, list of authors with affiliation, electronic correspondence address of the first author, extended abstract containing the article purpose, originality elements, minimal litterature cited.</w:t>
      </w:r>
    </w:p>
    <w:p w14:paraId="6F4FE240" w14:textId="77777777" w:rsidR="00E41FBC" w:rsidRPr="00E41FBC" w:rsidRDefault="00E41FBC" w:rsidP="00E41FBC">
      <w:pPr>
        <w:ind w:firstLine="720"/>
        <w:jc w:val="both"/>
        <w:rPr>
          <w:color w:val="FF0000"/>
          <w:lang w:val="ro-RO"/>
        </w:rPr>
      </w:pPr>
      <w:r w:rsidRPr="00E41FBC">
        <w:rPr>
          <w:color w:val="FF0000"/>
          <w:lang w:val="ro-RO"/>
        </w:rPr>
        <w:t>They would given also the following data: number of pages, number of litterature cited, number of figures and number of tables.</w:t>
      </w:r>
    </w:p>
    <w:p w14:paraId="5D063416" w14:textId="77777777" w:rsidR="00FC3C23" w:rsidRDefault="00FC3C23" w:rsidP="00E41FBC">
      <w:pPr>
        <w:jc w:val="both"/>
        <w:rPr>
          <w:lang w:val="ro-RO"/>
        </w:rPr>
      </w:pPr>
    </w:p>
    <w:sectPr w:rsidR="00FC3C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C8AF6" w14:textId="77777777" w:rsidR="008D7619" w:rsidRDefault="008D7619" w:rsidP="00FC3C23">
      <w:r>
        <w:separator/>
      </w:r>
    </w:p>
  </w:endnote>
  <w:endnote w:type="continuationSeparator" w:id="0">
    <w:p w14:paraId="1CC9EBF5" w14:textId="77777777" w:rsidR="008D7619" w:rsidRDefault="008D7619" w:rsidP="00FC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1458D" w14:textId="77777777" w:rsidR="00373FEC" w:rsidRDefault="008D7619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B9FF5" w14:textId="77777777" w:rsidR="00373FEC" w:rsidRDefault="008D7619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48D21" w14:textId="77777777" w:rsidR="00767E95" w:rsidRDefault="008D761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  <w:vertAlign w:val="superscript"/>
      </w:rPr>
    </w:pPr>
  </w:p>
  <w:p w14:paraId="7C571A1B" w14:textId="080BFE34" w:rsidR="00767E95" w:rsidRDefault="008D7619">
    <w:pPr>
      <w:pBdr>
        <w:top w:val="nil"/>
        <w:left w:val="nil"/>
        <w:bottom w:val="nil"/>
        <w:right w:val="nil"/>
        <w:between w:val="nil"/>
      </w:pBdr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  <w:vertAlign w:val="superscript"/>
      </w:rPr>
      <w:t>1</w:t>
    </w:r>
    <w:r>
      <w:rPr>
        <w:color w:val="000000"/>
        <w:sz w:val="18"/>
        <w:szCs w:val="18"/>
      </w:rPr>
      <w:t xml:space="preserve"> Brno University of Technology, Faculty of Information Technology, </w:t>
    </w:r>
    <w:proofErr w:type="spellStart"/>
    <w:r>
      <w:rPr>
        <w:color w:val="000000"/>
        <w:sz w:val="18"/>
        <w:szCs w:val="18"/>
      </w:rPr>
      <w:t>Bo</w:t>
    </w:r>
    <w:r>
      <w:rPr>
        <w:color w:val="000000"/>
        <w:sz w:val="18"/>
        <w:szCs w:val="18"/>
      </w:rPr>
      <w:t>ž</w:t>
    </w:r>
    <w:r>
      <w:rPr>
        <w:color w:val="000000"/>
        <w:sz w:val="18"/>
        <w:szCs w:val="18"/>
      </w:rPr>
      <w:t>et</w:t>
    </w:r>
    <w:r>
      <w:rPr>
        <w:color w:val="000000"/>
        <w:sz w:val="18"/>
        <w:szCs w:val="18"/>
      </w:rPr>
      <w:t>ě</w:t>
    </w:r>
    <w:r>
      <w:rPr>
        <w:color w:val="000000"/>
        <w:sz w:val="18"/>
        <w:szCs w:val="18"/>
      </w:rPr>
      <w:t>chova</w:t>
    </w:r>
    <w:proofErr w:type="spellEnd"/>
    <w:r>
      <w:rPr>
        <w:color w:val="000000"/>
        <w:sz w:val="18"/>
        <w:szCs w:val="18"/>
      </w:rPr>
      <w:t xml:space="preserve"> 2, 61266 Brno, Czech Republic</w:t>
    </w:r>
    <w:r>
      <w:rPr>
        <w:sz w:val="18"/>
        <w:szCs w:val="18"/>
      </w:rPr>
      <w:t xml:space="preserve"> </w:t>
    </w:r>
    <w:r>
      <w:rPr>
        <w:sz w:val="18"/>
        <w:szCs w:val="18"/>
      </w:rPr>
      <w:br/>
    </w:r>
    <w:r>
      <w:rPr>
        <w:color w:val="000000"/>
        <w:sz w:val="18"/>
        <w:szCs w:val="18"/>
      </w:rPr>
      <w:t>Emails: {</w:t>
    </w:r>
    <w:proofErr w:type="spellStart"/>
    <w:r>
      <w:rPr>
        <w:sz w:val="18"/>
        <w:szCs w:val="18"/>
      </w:rPr>
      <w:t>ipluskal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koutenmi</w:t>
    </w:r>
    <w:proofErr w:type="spellEnd"/>
    <w:r>
      <w:rPr>
        <w:sz w:val="18"/>
        <w:szCs w:val="18"/>
      </w:rPr>
      <w:t xml:space="preserve">, </w:t>
    </w:r>
    <w:proofErr w:type="spellStart"/>
    <w:r>
      <w:rPr>
        <w:sz w:val="18"/>
        <w:szCs w:val="18"/>
      </w:rPr>
      <w:t>ivondracek</w:t>
    </w:r>
    <w:proofErr w:type="spellEnd"/>
    <w:r>
      <w:rPr>
        <w:sz w:val="18"/>
        <w:szCs w:val="18"/>
      </w:rPr>
      <w:t>,</w:t>
    </w:r>
    <w:r w:rsidRPr="00931B81"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rysavy</w:t>
    </w:r>
    <w:proofErr w:type="spellEnd"/>
    <w:r>
      <w:rPr>
        <w:color w:val="000000"/>
        <w:sz w:val="18"/>
        <w:szCs w:val="18"/>
      </w:rPr>
      <w:t>}</w:t>
    </w:r>
    <w:r>
      <w:rPr>
        <w:color w:val="000000"/>
      </w:rPr>
      <w:t>@</w:t>
    </w:r>
    <w:r>
      <w:rPr>
        <w:color w:val="000000"/>
      </w:rPr>
      <w:t>fit.</w:t>
    </w:r>
    <w:r>
      <w:rPr>
        <w:sz w:val="18"/>
        <w:szCs w:val="18"/>
      </w:rPr>
      <w:t>vutbr.cz</w:t>
    </w:r>
    <w:r w:rsidR="00A53AB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94BA5B" wp14:editId="74D41A90">
              <wp:simplePos x="0" y="0"/>
              <wp:positionH relativeFrom="column">
                <wp:posOffset>-12700</wp:posOffset>
              </wp:positionH>
              <wp:positionV relativeFrom="paragraph">
                <wp:posOffset>-12700</wp:posOffset>
              </wp:positionV>
              <wp:extent cx="1905000" cy="12700"/>
              <wp:effectExtent l="0" t="0" r="0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905000" cy="127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B2B1B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pt;margin-top:-1pt;width:150pt;height: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">
              <v:stroke joinstyle="miter"/>
              <o:lock v:ext="edit" shapetype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7A293" w14:textId="77777777" w:rsidR="008D7619" w:rsidRDefault="008D7619" w:rsidP="00FC3C23">
      <w:r>
        <w:separator/>
      </w:r>
    </w:p>
  </w:footnote>
  <w:footnote w:type="continuationSeparator" w:id="0">
    <w:p w14:paraId="6A5DE804" w14:textId="77777777" w:rsidR="008D7619" w:rsidRDefault="008D7619" w:rsidP="00FC3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F8085" w14:textId="77777777" w:rsidR="00767E95" w:rsidRDefault="008D7619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923"/>
      </w:tabs>
      <w:ind w:hanging="2"/>
      <w:rPr>
        <w:color w:val="000000"/>
        <w:sz w:val="18"/>
        <w:szCs w:val="18"/>
      </w:rPr>
    </w:pPr>
    <w:r>
      <w:rPr>
        <w:color w:val="000000"/>
        <w:sz w:val="18"/>
        <w:szCs w:val="18"/>
      </w:rPr>
      <w:tab/>
    </w:r>
    <w:r>
      <w:rPr>
        <w:sz w:val="18"/>
        <w:szCs w:val="18"/>
      </w:rPr>
      <w:t xml:space="preserve">On the acceleration of packet captures processing using Apache Spark </w:t>
    </w:r>
    <w:r>
      <w:rPr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  <w:p w14:paraId="4172253D" w14:textId="77777777" w:rsidR="00767E95" w:rsidRDefault="008D7619">
    <w:pPr>
      <w:pBdr>
        <w:top w:val="nil"/>
        <w:left w:val="nil"/>
        <w:bottom w:val="nil"/>
        <w:right w:val="nil"/>
        <w:between w:val="nil"/>
      </w:pBdr>
      <w:tabs>
        <w:tab w:val="center" w:pos="4820"/>
        <w:tab w:val="right" w:pos="9639"/>
      </w:tabs>
      <w:ind w:hanging="2"/>
      <w:jc w:val="center"/>
      <w:rPr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D6EEA" w14:textId="77777777" w:rsidR="00B32084" w:rsidRDefault="00B320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DA07A" w14:textId="57F4F53A" w:rsidR="00767E95" w:rsidRPr="00B32084" w:rsidRDefault="008D7619" w:rsidP="00B32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62033"/>
    <w:multiLevelType w:val="multilevel"/>
    <w:tmpl w:val="6D1652B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B5B99"/>
    <w:multiLevelType w:val="multilevel"/>
    <w:tmpl w:val="6D1652BA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3362F"/>
    <w:multiLevelType w:val="multilevel"/>
    <w:tmpl w:val="2264CF3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86474"/>
    <w:multiLevelType w:val="multilevel"/>
    <w:tmpl w:val="96FEF240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6308C"/>
    <w:multiLevelType w:val="hybridMultilevel"/>
    <w:tmpl w:val="96FEF240"/>
    <w:lvl w:ilvl="0" w:tplc="696A8D2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05BA6"/>
    <w:multiLevelType w:val="multilevel"/>
    <w:tmpl w:val="2264CF38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4097B"/>
    <w:multiLevelType w:val="hybridMultilevel"/>
    <w:tmpl w:val="6D1652BA"/>
    <w:lvl w:ilvl="0" w:tplc="1F3ED60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3643D"/>
    <w:multiLevelType w:val="hybridMultilevel"/>
    <w:tmpl w:val="2264CF38"/>
    <w:lvl w:ilvl="0" w:tplc="428C55D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C3sDAztDQ3NTAwNbNU0lEKTi0uzszPAykwrAUA2zaUZSwAAAA="/>
  </w:docVars>
  <w:rsids>
    <w:rsidRoot w:val="00167E29"/>
    <w:rsid w:val="00167E29"/>
    <w:rsid w:val="001B6B21"/>
    <w:rsid w:val="00507C2E"/>
    <w:rsid w:val="005468B9"/>
    <w:rsid w:val="008C5EFD"/>
    <w:rsid w:val="008D7619"/>
    <w:rsid w:val="00A53AB6"/>
    <w:rsid w:val="00B32084"/>
    <w:rsid w:val="00BF23E9"/>
    <w:rsid w:val="00E41FBC"/>
    <w:rsid w:val="00F43215"/>
    <w:rsid w:val="00FC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08ADC"/>
  <w15:chartTrackingRefBased/>
  <w15:docId w15:val="{A2733D70-8167-46DE-A00D-F6E2554E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link w:val="FooterChar"/>
    <w:rsid w:val="00FC3C23"/>
    <w:pPr>
      <w:tabs>
        <w:tab w:val="center" w:pos="4320"/>
        <w:tab w:val="right" w:pos="8640"/>
      </w:tabs>
      <w:suppressAutoHyphens/>
      <w:overflowPunct w:val="0"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16"/>
      <w:szCs w:val="20"/>
    </w:rPr>
  </w:style>
  <w:style w:type="character" w:customStyle="1" w:styleId="FooterChar">
    <w:name w:val="Footer Char"/>
    <w:link w:val="Footer"/>
    <w:rsid w:val="00FC3C23"/>
    <w:rPr>
      <w:position w:val="-1"/>
      <w:sz w:val="16"/>
    </w:rPr>
  </w:style>
  <w:style w:type="character" w:styleId="Strong">
    <w:name w:val="Strong"/>
    <w:uiPriority w:val="22"/>
    <w:qFormat/>
    <w:rsid w:val="00FC3C23"/>
    <w:rPr>
      <w:b/>
      <w:bCs/>
    </w:rPr>
  </w:style>
  <w:style w:type="paragraph" w:styleId="Header">
    <w:name w:val="header"/>
    <w:basedOn w:val="Normal"/>
    <w:link w:val="HeaderChar"/>
    <w:rsid w:val="00FC3C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C3C23"/>
    <w:rPr>
      <w:sz w:val="24"/>
      <w:szCs w:val="24"/>
    </w:rPr>
  </w:style>
  <w:style w:type="paragraph" w:styleId="NoSpacing">
    <w:name w:val="No Spacing"/>
    <w:uiPriority w:val="1"/>
    <w:qFormat/>
    <w:rsid w:val="00FC3C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BetasIRC</Company>
  <LinksUpToDate>false</LinksUpToDate>
  <CharactersWithSpaces>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Augustin</dc:creator>
  <cp:keywords/>
  <cp:lastModifiedBy>Pluskal Jan (128754)</cp:lastModifiedBy>
  <cp:revision>7</cp:revision>
  <dcterms:created xsi:type="dcterms:W3CDTF">2019-11-21T05:53:00Z</dcterms:created>
  <dcterms:modified xsi:type="dcterms:W3CDTF">2019-11-21T06:26:00Z</dcterms:modified>
</cp:coreProperties>
</file>